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BBD1B">
      <w:pPr>
        <w:snapToGrid w:val="0"/>
        <w:spacing w:line="594" w:lineRule="exact"/>
        <w:jc w:val="center"/>
        <w:rPr>
          <w:rFonts w:hint="eastAsia" w:ascii="宋体" w:hAnsi="宋体" w:eastAsia="宋体" w:cs="宋体"/>
          <w:b/>
          <w:bCs/>
          <w:color w:val="000000"/>
          <w:sz w:val="32"/>
          <w:szCs w:val="32"/>
          <w:lang w:eastAsia="zh-CN"/>
        </w:rPr>
      </w:pPr>
      <w:r>
        <w:rPr>
          <w:rFonts w:hint="eastAsia" w:ascii="宋体" w:hAnsi="宋体" w:eastAsia="宋体" w:cs="宋体"/>
          <w:b/>
          <w:bCs/>
          <w:color w:val="000000"/>
          <w:sz w:val="32"/>
          <w:szCs w:val="32"/>
          <w:lang w:eastAsia="zh-CN"/>
        </w:rPr>
        <w:t>新乡市</w:t>
      </w:r>
      <w:r>
        <w:rPr>
          <w:rFonts w:hint="eastAsia" w:ascii="宋体" w:hAnsi="宋体" w:eastAsia="宋体" w:cs="宋体"/>
          <w:b/>
          <w:bCs/>
          <w:color w:val="000000"/>
          <w:sz w:val="32"/>
          <w:szCs w:val="32"/>
        </w:rPr>
        <w:t>卫生巾产品质量监督抽查实</w:t>
      </w:r>
      <w:bookmarkStart w:id="0" w:name="_GoBack"/>
      <w:bookmarkEnd w:id="0"/>
      <w:r>
        <w:rPr>
          <w:rFonts w:hint="eastAsia" w:ascii="宋体" w:hAnsi="宋体" w:eastAsia="宋体" w:cs="宋体"/>
          <w:b/>
          <w:bCs/>
          <w:color w:val="000000"/>
          <w:sz w:val="32"/>
          <w:szCs w:val="32"/>
        </w:rPr>
        <w:t>施细则</w:t>
      </w:r>
      <w:r>
        <w:rPr>
          <w:rFonts w:hint="eastAsia" w:ascii="宋体" w:hAnsi="宋体" w:eastAsia="宋体" w:cs="宋体"/>
          <w:b/>
          <w:bCs/>
          <w:color w:val="000000"/>
          <w:sz w:val="32"/>
          <w:szCs w:val="32"/>
          <w:lang w:eastAsia="zh-CN"/>
        </w:rPr>
        <w:t>（</w:t>
      </w:r>
      <w:r>
        <w:rPr>
          <w:rFonts w:hint="eastAsia" w:ascii="宋体" w:hAnsi="宋体" w:eastAsia="宋体" w:cs="宋体"/>
          <w:b/>
          <w:bCs/>
          <w:color w:val="000000"/>
          <w:sz w:val="32"/>
          <w:szCs w:val="32"/>
          <w:lang w:val="en-US" w:eastAsia="zh-CN"/>
        </w:rPr>
        <w:t>2025年版</w:t>
      </w:r>
      <w:r>
        <w:rPr>
          <w:rFonts w:hint="eastAsia" w:ascii="宋体" w:hAnsi="宋体" w:eastAsia="宋体" w:cs="宋体"/>
          <w:b/>
          <w:bCs/>
          <w:color w:val="000000"/>
          <w:sz w:val="32"/>
          <w:szCs w:val="32"/>
          <w:lang w:eastAsia="zh-CN"/>
        </w:rPr>
        <w:t>）</w:t>
      </w:r>
    </w:p>
    <w:p w14:paraId="1D757982">
      <w:pPr>
        <w:spacing w:line="560" w:lineRule="exact"/>
        <w:ind w:firstLine="628" w:firstLineChars="200"/>
        <w:rPr>
          <w:rFonts w:ascii="Times New Roman" w:hAnsi="Times New Roman" w:eastAsia="仿宋_GB2312" w:cs="Times New Roman"/>
          <w:sz w:val="32"/>
          <w:szCs w:val="32"/>
        </w:rPr>
      </w:pPr>
    </w:p>
    <w:p w14:paraId="719610D7">
      <w:pPr>
        <w:keepNext w:val="0"/>
        <w:keepLines w:val="0"/>
        <w:pageBreakBefore w:val="0"/>
        <w:widowControl w:val="0"/>
        <w:kinsoku/>
        <w:wordWrap/>
        <w:overflowPunct/>
        <w:topLinePunct w:val="0"/>
        <w:autoSpaceDE/>
        <w:autoSpaceDN/>
        <w:bidi w:val="0"/>
        <w:snapToGrid w:val="0"/>
        <w:spacing w:line="360" w:lineRule="auto"/>
        <w:ind w:firstLine="408" w:firstLineChars="200"/>
        <w:textAlignment w:val="auto"/>
        <w:rPr>
          <w:rFonts w:ascii="Times New Roman" w:hAnsi="Times New Roman" w:eastAsia="黑体" w:cs="Times New Roman"/>
          <w:b/>
          <w:bCs/>
          <w:color w:val="000000"/>
          <w:sz w:val="21"/>
          <w:szCs w:val="21"/>
        </w:rPr>
      </w:pPr>
      <w:r>
        <w:rPr>
          <w:rFonts w:ascii="Times New Roman" w:hAnsi="Times New Roman" w:eastAsia="黑体" w:cs="Times New Roman"/>
          <w:b/>
          <w:bCs/>
          <w:color w:val="000000"/>
          <w:sz w:val="21"/>
          <w:szCs w:val="21"/>
        </w:rPr>
        <w:t>1 抽样方法</w:t>
      </w:r>
    </w:p>
    <w:p w14:paraId="5BE86D81">
      <w:pPr>
        <w:keepNext w:val="0"/>
        <w:keepLines w:val="0"/>
        <w:pageBreakBefore w:val="0"/>
        <w:widowControl w:val="0"/>
        <w:kinsoku/>
        <w:wordWrap/>
        <w:overflowPunct/>
        <w:topLinePunct w:val="0"/>
        <w:autoSpaceDE/>
        <w:autoSpaceDN/>
        <w:bidi w:val="0"/>
        <w:adjustRightInd w:val="0"/>
        <w:snapToGrid w:val="0"/>
        <w:spacing w:line="360" w:lineRule="auto"/>
        <w:ind w:firstLine="408" w:firstLineChars="200"/>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以随机抽样方式在被抽样生产者、销售者的待销产品中抽取。</w:t>
      </w:r>
    </w:p>
    <w:p w14:paraId="0E17A4D5">
      <w:pPr>
        <w:keepNext w:val="0"/>
        <w:keepLines w:val="0"/>
        <w:pageBreakBefore w:val="0"/>
        <w:widowControl w:val="0"/>
        <w:kinsoku/>
        <w:wordWrap/>
        <w:overflowPunct/>
        <w:topLinePunct w:val="0"/>
        <w:autoSpaceDE/>
        <w:autoSpaceDN/>
        <w:bidi w:val="0"/>
        <w:snapToGrid w:val="0"/>
        <w:spacing w:line="360" w:lineRule="auto"/>
        <w:ind w:firstLine="408" w:firstLineChars="200"/>
        <w:textAlignment w:val="auto"/>
        <w:rPr>
          <w:rFonts w:ascii="Times New Roman" w:hAnsi="Times New Roman" w:eastAsia="仿宋_GB2312" w:cs="Times New Roman"/>
          <w:color w:val="000000"/>
          <w:spacing w:val="-6"/>
          <w:sz w:val="21"/>
          <w:szCs w:val="21"/>
        </w:rPr>
      </w:pPr>
      <w:r>
        <w:rPr>
          <w:rFonts w:ascii="Times New Roman" w:hAnsi="Times New Roman" w:eastAsia="仿宋_GB2312" w:cs="Times New Roman"/>
          <w:color w:val="000000"/>
          <w:sz w:val="21"/>
          <w:szCs w:val="21"/>
        </w:rPr>
        <w:t>随</w:t>
      </w:r>
      <w:r>
        <w:rPr>
          <w:rFonts w:ascii="Times New Roman" w:hAnsi="Times New Roman" w:eastAsia="仿宋_GB2312" w:cs="Times New Roman"/>
          <w:color w:val="000000"/>
          <w:spacing w:val="-6"/>
          <w:sz w:val="21"/>
          <w:szCs w:val="21"/>
        </w:rPr>
        <w:t>机数一般可使用随机数表、随机数骰子或扑克牌等方法产生。</w:t>
      </w:r>
    </w:p>
    <w:p w14:paraId="28470884">
      <w:pPr>
        <w:keepNext w:val="0"/>
        <w:keepLines w:val="0"/>
        <w:pageBreakBefore w:val="0"/>
        <w:widowControl w:val="0"/>
        <w:kinsoku/>
        <w:wordWrap/>
        <w:overflowPunct/>
        <w:topLinePunct w:val="0"/>
        <w:autoSpaceDE/>
        <w:autoSpaceDN/>
        <w:bidi w:val="0"/>
        <w:adjustRightInd w:val="0"/>
        <w:snapToGrid w:val="0"/>
        <w:spacing w:afterLines="50" w:line="360" w:lineRule="auto"/>
        <w:ind w:firstLine="408" w:firstLineChars="200"/>
        <w:jc w:val="center"/>
        <w:textAlignment w:val="auto"/>
        <w:rPr>
          <w:rFonts w:ascii="Times New Roman" w:hAnsi="Times New Roman" w:eastAsia="仿宋_GB2312" w:cs="Times New Roman"/>
          <w:b/>
          <w:color w:val="000000" w:themeColor="text1"/>
          <w:sz w:val="21"/>
          <w:szCs w:val="21"/>
        </w:rPr>
      </w:pPr>
      <w:r>
        <w:rPr>
          <w:rFonts w:ascii="Times New Roman" w:hAnsi="Times New Roman" w:eastAsia="仿宋_GB2312" w:cs="Times New Roman"/>
          <w:b/>
          <w:color w:val="000000" w:themeColor="text1"/>
          <w:sz w:val="21"/>
          <w:szCs w:val="21"/>
        </w:rPr>
        <w:t>表1</w:t>
      </w:r>
      <w:r>
        <w:rPr>
          <w:rFonts w:hint="eastAsia" w:ascii="Times New Roman" w:hAnsi="Times New Roman" w:eastAsia="仿宋_GB2312" w:cs="Times New Roman"/>
          <w:b/>
          <w:color w:val="000000" w:themeColor="text1"/>
          <w:sz w:val="21"/>
          <w:szCs w:val="21"/>
        </w:rPr>
        <w:t xml:space="preserve"> </w:t>
      </w:r>
      <w:r>
        <w:rPr>
          <w:rFonts w:ascii="Times New Roman" w:hAnsi="Times New Roman" w:eastAsia="仿宋_GB2312" w:cs="Times New Roman"/>
          <w:b/>
          <w:color w:val="000000" w:themeColor="text1"/>
          <w:sz w:val="21"/>
          <w:szCs w:val="21"/>
        </w:rPr>
        <w:t>抽取样品数量</w:t>
      </w:r>
    </w:p>
    <w:tbl>
      <w:tblPr>
        <w:tblStyle w:val="8"/>
        <w:tblW w:w="88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810"/>
        <w:gridCol w:w="1669"/>
        <w:gridCol w:w="2411"/>
        <w:gridCol w:w="2228"/>
      </w:tblGrid>
      <w:tr w14:paraId="4E52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trPr>
        <w:tc>
          <w:tcPr>
            <w:tcW w:w="760" w:type="dxa"/>
            <w:vAlign w:val="center"/>
          </w:tcPr>
          <w:p w14:paraId="7C0F8894">
            <w:pPr>
              <w:keepNext w:val="0"/>
              <w:keepLines w:val="0"/>
              <w:pageBreakBefore w:val="0"/>
              <w:widowControl w:val="0"/>
              <w:kinsoku/>
              <w:wordWrap/>
              <w:overflowPunct/>
              <w:topLinePunct w:val="0"/>
              <w:autoSpaceDE/>
              <w:autoSpaceDN/>
              <w:bidi w:val="0"/>
              <w:spacing w:line="360" w:lineRule="auto"/>
              <w:jc w:val="center"/>
              <w:textAlignment w:val="auto"/>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序号</w:t>
            </w:r>
          </w:p>
        </w:tc>
        <w:tc>
          <w:tcPr>
            <w:tcW w:w="1810" w:type="dxa"/>
            <w:vAlign w:val="center"/>
          </w:tcPr>
          <w:p w14:paraId="52710BB0">
            <w:pPr>
              <w:keepNext w:val="0"/>
              <w:keepLines w:val="0"/>
              <w:pageBreakBefore w:val="0"/>
              <w:widowControl w:val="0"/>
              <w:kinsoku/>
              <w:wordWrap/>
              <w:overflowPunct/>
              <w:topLinePunct w:val="0"/>
              <w:autoSpaceDE/>
              <w:autoSpaceDN/>
              <w:bidi w:val="0"/>
              <w:spacing w:line="360" w:lineRule="auto"/>
              <w:jc w:val="center"/>
              <w:textAlignment w:val="auto"/>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产品种类</w:t>
            </w:r>
          </w:p>
        </w:tc>
        <w:tc>
          <w:tcPr>
            <w:tcW w:w="1669" w:type="dxa"/>
            <w:vAlign w:val="center"/>
          </w:tcPr>
          <w:p w14:paraId="4884343A">
            <w:pPr>
              <w:keepNext w:val="0"/>
              <w:keepLines w:val="0"/>
              <w:pageBreakBefore w:val="0"/>
              <w:widowControl w:val="0"/>
              <w:kinsoku/>
              <w:wordWrap/>
              <w:overflowPunct/>
              <w:topLinePunct w:val="0"/>
              <w:autoSpaceDE/>
              <w:autoSpaceDN/>
              <w:bidi w:val="0"/>
              <w:spacing w:line="360" w:lineRule="auto"/>
              <w:jc w:val="center"/>
              <w:textAlignment w:val="auto"/>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抽样数量（包）</w:t>
            </w:r>
          </w:p>
        </w:tc>
        <w:tc>
          <w:tcPr>
            <w:tcW w:w="2411" w:type="dxa"/>
            <w:vAlign w:val="center"/>
          </w:tcPr>
          <w:p w14:paraId="0E95B4AF">
            <w:pPr>
              <w:keepNext w:val="0"/>
              <w:keepLines w:val="0"/>
              <w:pageBreakBefore w:val="0"/>
              <w:widowControl w:val="0"/>
              <w:kinsoku/>
              <w:wordWrap/>
              <w:overflowPunct/>
              <w:topLinePunct w:val="0"/>
              <w:autoSpaceDE/>
              <w:autoSpaceDN/>
              <w:bidi w:val="0"/>
              <w:spacing w:line="360" w:lineRule="auto"/>
              <w:jc w:val="center"/>
              <w:textAlignment w:val="auto"/>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检验样品数量（包）</w:t>
            </w:r>
          </w:p>
        </w:tc>
        <w:tc>
          <w:tcPr>
            <w:tcW w:w="2228" w:type="dxa"/>
            <w:vAlign w:val="center"/>
          </w:tcPr>
          <w:p w14:paraId="05A1B092">
            <w:pPr>
              <w:keepNext w:val="0"/>
              <w:keepLines w:val="0"/>
              <w:pageBreakBefore w:val="0"/>
              <w:widowControl w:val="0"/>
              <w:kinsoku/>
              <w:wordWrap/>
              <w:overflowPunct/>
              <w:topLinePunct w:val="0"/>
              <w:autoSpaceDE/>
              <w:autoSpaceDN/>
              <w:bidi w:val="0"/>
              <w:spacing w:line="360" w:lineRule="auto"/>
              <w:jc w:val="center"/>
              <w:textAlignment w:val="auto"/>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备用样品数量（包）</w:t>
            </w:r>
          </w:p>
        </w:tc>
      </w:tr>
      <w:tr w14:paraId="20E9A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60" w:type="dxa"/>
            <w:vAlign w:val="center"/>
          </w:tcPr>
          <w:p w14:paraId="11042797">
            <w:pPr>
              <w:keepNext w:val="0"/>
              <w:keepLines w:val="0"/>
              <w:pageBreakBefore w:val="0"/>
              <w:widowControl w:val="0"/>
              <w:kinsoku/>
              <w:wordWrap/>
              <w:overflowPunct/>
              <w:topLinePunct w:val="0"/>
              <w:autoSpaceDE/>
              <w:autoSpaceDN/>
              <w:bidi w:val="0"/>
              <w:spacing w:line="360" w:lineRule="auto"/>
              <w:jc w:val="center"/>
              <w:textAlignment w:val="auto"/>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1</w:t>
            </w:r>
          </w:p>
        </w:tc>
        <w:tc>
          <w:tcPr>
            <w:tcW w:w="1810" w:type="dxa"/>
            <w:vAlign w:val="center"/>
          </w:tcPr>
          <w:p w14:paraId="56E924C7">
            <w:pPr>
              <w:keepNext w:val="0"/>
              <w:keepLines w:val="0"/>
              <w:pageBreakBefore w:val="0"/>
              <w:widowControl w:val="0"/>
              <w:kinsoku/>
              <w:wordWrap/>
              <w:overflowPunct/>
              <w:topLinePunct w:val="0"/>
              <w:autoSpaceDE/>
              <w:autoSpaceDN/>
              <w:bidi w:val="0"/>
              <w:spacing w:line="360" w:lineRule="auto"/>
              <w:jc w:val="center"/>
              <w:textAlignment w:val="auto"/>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卫生巾</w:t>
            </w:r>
          </w:p>
        </w:tc>
        <w:tc>
          <w:tcPr>
            <w:tcW w:w="1669" w:type="dxa"/>
            <w:vAlign w:val="center"/>
          </w:tcPr>
          <w:p w14:paraId="064C9A5A">
            <w:pPr>
              <w:keepNext w:val="0"/>
              <w:keepLines w:val="0"/>
              <w:pageBreakBefore w:val="0"/>
              <w:widowControl w:val="0"/>
              <w:kinsoku/>
              <w:wordWrap/>
              <w:overflowPunct/>
              <w:topLinePunct w:val="0"/>
              <w:autoSpaceDE/>
              <w:autoSpaceDN/>
              <w:bidi w:val="0"/>
              <w:spacing w:line="360" w:lineRule="auto"/>
              <w:jc w:val="center"/>
              <w:textAlignment w:val="auto"/>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15</w:t>
            </w:r>
          </w:p>
        </w:tc>
        <w:tc>
          <w:tcPr>
            <w:tcW w:w="2411" w:type="dxa"/>
            <w:vAlign w:val="center"/>
          </w:tcPr>
          <w:p w14:paraId="0A988135">
            <w:pPr>
              <w:keepNext w:val="0"/>
              <w:keepLines w:val="0"/>
              <w:pageBreakBefore w:val="0"/>
              <w:widowControl w:val="0"/>
              <w:kinsoku/>
              <w:wordWrap/>
              <w:overflowPunct/>
              <w:topLinePunct w:val="0"/>
              <w:autoSpaceDE/>
              <w:autoSpaceDN/>
              <w:bidi w:val="0"/>
              <w:spacing w:line="360" w:lineRule="auto"/>
              <w:jc w:val="center"/>
              <w:textAlignment w:val="auto"/>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12</w:t>
            </w:r>
          </w:p>
        </w:tc>
        <w:tc>
          <w:tcPr>
            <w:tcW w:w="2228" w:type="dxa"/>
            <w:vAlign w:val="center"/>
          </w:tcPr>
          <w:p w14:paraId="694334EE">
            <w:pPr>
              <w:keepNext w:val="0"/>
              <w:keepLines w:val="0"/>
              <w:pageBreakBefore w:val="0"/>
              <w:widowControl w:val="0"/>
              <w:kinsoku/>
              <w:wordWrap/>
              <w:overflowPunct/>
              <w:topLinePunct w:val="0"/>
              <w:autoSpaceDE/>
              <w:autoSpaceDN/>
              <w:bidi w:val="0"/>
              <w:spacing w:line="360" w:lineRule="auto"/>
              <w:jc w:val="center"/>
              <w:textAlignment w:val="auto"/>
              <w:rPr>
                <w:rFonts w:ascii="Times New Roman" w:hAnsi="Times New Roman" w:eastAsia="仿宋_GB2312" w:cs="Times New Roman"/>
                <w:bCs/>
                <w:color w:val="000000"/>
                <w:kern w:val="0"/>
                <w:sz w:val="21"/>
                <w:szCs w:val="21"/>
              </w:rPr>
            </w:pPr>
            <w:r>
              <w:rPr>
                <w:rFonts w:ascii="Times New Roman" w:hAnsi="Times New Roman" w:eastAsia="仿宋_GB2312" w:cs="Times New Roman"/>
                <w:bCs/>
                <w:color w:val="000000"/>
                <w:kern w:val="0"/>
                <w:sz w:val="21"/>
                <w:szCs w:val="21"/>
              </w:rPr>
              <w:t>3</w:t>
            </w:r>
          </w:p>
        </w:tc>
      </w:tr>
    </w:tbl>
    <w:p w14:paraId="74C8E325">
      <w:pPr>
        <w:keepNext w:val="0"/>
        <w:keepLines w:val="0"/>
        <w:pageBreakBefore w:val="0"/>
        <w:widowControl w:val="0"/>
        <w:kinsoku/>
        <w:wordWrap/>
        <w:overflowPunct/>
        <w:topLinePunct w:val="0"/>
        <w:autoSpaceDE/>
        <w:autoSpaceDN/>
        <w:bidi w:val="0"/>
        <w:snapToGrid w:val="0"/>
        <w:spacing w:line="360" w:lineRule="auto"/>
        <w:ind w:firstLine="408" w:firstLineChars="200"/>
        <w:textAlignment w:val="auto"/>
        <w:rPr>
          <w:rFonts w:ascii="Times New Roman" w:hAnsi="Times New Roman" w:eastAsia="黑体" w:cs="Times New Roman"/>
          <w:b/>
          <w:bCs/>
          <w:color w:val="000000"/>
          <w:sz w:val="21"/>
          <w:szCs w:val="21"/>
        </w:rPr>
      </w:pPr>
      <w:r>
        <w:rPr>
          <w:rFonts w:ascii="Times New Roman" w:hAnsi="Times New Roman" w:eastAsia="黑体" w:cs="Times New Roman"/>
          <w:b/>
          <w:bCs/>
          <w:color w:val="000000"/>
          <w:sz w:val="21"/>
          <w:szCs w:val="21"/>
        </w:rPr>
        <w:t>2 检验依据</w:t>
      </w:r>
    </w:p>
    <w:p w14:paraId="46AED5D1">
      <w:pPr>
        <w:keepNext w:val="0"/>
        <w:keepLines w:val="0"/>
        <w:pageBreakBefore w:val="0"/>
        <w:widowControl w:val="0"/>
        <w:kinsoku/>
        <w:wordWrap/>
        <w:overflowPunct/>
        <w:topLinePunct w:val="0"/>
        <w:autoSpaceDE/>
        <w:autoSpaceDN/>
        <w:bidi w:val="0"/>
        <w:adjustRightInd w:val="0"/>
        <w:snapToGrid w:val="0"/>
        <w:spacing w:afterLines="50" w:line="360" w:lineRule="auto"/>
        <w:ind w:firstLine="408" w:firstLineChars="200"/>
        <w:jc w:val="center"/>
        <w:textAlignment w:val="auto"/>
        <w:rPr>
          <w:rFonts w:ascii="Times New Roman" w:hAnsi="Times New Roman" w:eastAsia="仿宋_GB2312" w:cs="Times New Roman"/>
          <w:b/>
          <w:color w:val="000000" w:themeColor="text1"/>
          <w:sz w:val="21"/>
          <w:szCs w:val="21"/>
        </w:rPr>
      </w:pPr>
      <w:r>
        <w:rPr>
          <w:rFonts w:ascii="Times New Roman" w:hAnsi="Times New Roman" w:eastAsia="仿宋_GB2312" w:cs="Times New Roman"/>
          <w:b/>
          <w:color w:val="000000" w:themeColor="text1"/>
          <w:sz w:val="21"/>
          <w:szCs w:val="21"/>
        </w:rPr>
        <w:t>表2 卫生巾（护垫）</w:t>
      </w:r>
      <w:r>
        <w:rPr>
          <w:rFonts w:hint="eastAsia" w:ascii="Times New Roman" w:hAnsi="Times New Roman" w:eastAsia="仿宋_GB2312" w:cs="Times New Roman"/>
          <w:b/>
          <w:color w:val="000000" w:themeColor="text1"/>
          <w:sz w:val="21"/>
          <w:szCs w:val="21"/>
        </w:rPr>
        <w:t>（GB/T 8389-2018）</w:t>
      </w:r>
    </w:p>
    <w:tbl>
      <w:tblPr>
        <w:tblStyle w:val="8"/>
        <w:tblW w:w="890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4180"/>
        <w:gridCol w:w="3850"/>
      </w:tblGrid>
      <w:tr w14:paraId="55FB2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5F5553B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序号</w:t>
            </w:r>
          </w:p>
        </w:tc>
        <w:tc>
          <w:tcPr>
            <w:tcW w:w="4180" w:type="dxa"/>
            <w:vAlign w:val="center"/>
          </w:tcPr>
          <w:p w14:paraId="0A264C2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检验项目</w:t>
            </w:r>
          </w:p>
        </w:tc>
        <w:tc>
          <w:tcPr>
            <w:tcW w:w="3850" w:type="dxa"/>
            <w:vAlign w:val="center"/>
          </w:tcPr>
          <w:p w14:paraId="4B63AF2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检验方法</w:t>
            </w:r>
          </w:p>
        </w:tc>
      </w:tr>
      <w:tr w14:paraId="45D7D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184F1AC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1</w:t>
            </w:r>
          </w:p>
        </w:tc>
        <w:tc>
          <w:tcPr>
            <w:tcW w:w="4180" w:type="dxa"/>
            <w:vAlign w:val="center"/>
          </w:tcPr>
          <w:p w14:paraId="0934EB7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吸水倍率</w:t>
            </w:r>
          </w:p>
        </w:tc>
        <w:tc>
          <w:tcPr>
            <w:tcW w:w="3850" w:type="dxa"/>
            <w:vAlign w:val="center"/>
          </w:tcPr>
          <w:p w14:paraId="7E1549C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GB/T 8389-2018中4.4</w:t>
            </w:r>
          </w:p>
        </w:tc>
      </w:tr>
      <w:tr w14:paraId="76CB7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3A43308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2</w:t>
            </w:r>
          </w:p>
        </w:tc>
        <w:tc>
          <w:tcPr>
            <w:tcW w:w="4180" w:type="dxa"/>
            <w:vAlign w:val="center"/>
          </w:tcPr>
          <w:p w14:paraId="2A1E8BD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吸收速度</w:t>
            </w:r>
          </w:p>
        </w:tc>
        <w:tc>
          <w:tcPr>
            <w:tcW w:w="3850" w:type="dxa"/>
            <w:vAlign w:val="center"/>
          </w:tcPr>
          <w:p w14:paraId="494ED8C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GB/T 8389-2018中附录A</w:t>
            </w:r>
          </w:p>
        </w:tc>
      </w:tr>
      <w:tr w14:paraId="4289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06206B0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3</w:t>
            </w:r>
          </w:p>
        </w:tc>
        <w:tc>
          <w:tcPr>
            <w:tcW w:w="4180" w:type="dxa"/>
            <w:vAlign w:val="center"/>
          </w:tcPr>
          <w:p w14:paraId="3E1A67B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pH</w:t>
            </w:r>
          </w:p>
        </w:tc>
        <w:tc>
          <w:tcPr>
            <w:tcW w:w="3850" w:type="dxa"/>
            <w:vAlign w:val="center"/>
          </w:tcPr>
          <w:p w14:paraId="324C28F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GB/T 8389-2018中附录C</w:t>
            </w:r>
          </w:p>
        </w:tc>
      </w:tr>
      <w:tr w14:paraId="5E0FE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0D4D1AD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4</w:t>
            </w:r>
          </w:p>
        </w:tc>
        <w:tc>
          <w:tcPr>
            <w:tcW w:w="4180" w:type="dxa"/>
            <w:vAlign w:val="center"/>
          </w:tcPr>
          <w:p w14:paraId="6DCEA7B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甲醛含量</w:t>
            </w:r>
          </w:p>
        </w:tc>
        <w:tc>
          <w:tcPr>
            <w:tcW w:w="3850" w:type="dxa"/>
            <w:vAlign w:val="center"/>
          </w:tcPr>
          <w:p w14:paraId="41C2E3C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GB/T</w:t>
            </w:r>
            <w:r>
              <w:rPr>
                <w:rFonts w:hint="eastAsia" w:ascii="Times New Roman" w:hAnsi="Times New Roman" w:eastAsia="仿宋_GB2312" w:cs="Times New Roman"/>
                <w:color w:val="000000"/>
                <w:sz w:val="21"/>
                <w:szCs w:val="21"/>
              </w:rPr>
              <w:t xml:space="preserve"> </w:t>
            </w:r>
            <w:r>
              <w:rPr>
                <w:rFonts w:ascii="Times New Roman" w:hAnsi="Times New Roman" w:eastAsia="仿宋_GB2312" w:cs="Times New Roman"/>
                <w:color w:val="000000"/>
                <w:sz w:val="21"/>
                <w:szCs w:val="21"/>
              </w:rPr>
              <w:t>34448-2017</w:t>
            </w:r>
          </w:p>
        </w:tc>
      </w:tr>
      <w:tr w14:paraId="2870F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21E9F5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5</w:t>
            </w:r>
          </w:p>
        </w:tc>
        <w:tc>
          <w:tcPr>
            <w:tcW w:w="4180" w:type="dxa"/>
            <w:vAlign w:val="center"/>
          </w:tcPr>
          <w:p w14:paraId="795DA0A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仿宋_GB2312" w:cs="Times New Roman"/>
                <w:color w:val="000000"/>
                <w:sz w:val="21"/>
                <w:szCs w:val="21"/>
                <w:lang w:eastAsia="zh-CN"/>
              </w:rPr>
            </w:pPr>
            <w:r>
              <w:rPr>
                <w:rFonts w:ascii="Times New Roman" w:hAnsi="Times New Roman" w:eastAsia="仿宋_GB2312" w:cs="Times New Roman"/>
                <w:color w:val="000000"/>
                <w:sz w:val="21"/>
                <w:szCs w:val="21"/>
              </w:rPr>
              <w:t>可迁移性荧光</w:t>
            </w:r>
            <w:r>
              <w:rPr>
                <w:rFonts w:hint="eastAsia" w:ascii="Times New Roman" w:hAnsi="Times New Roman" w:eastAsia="仿宋_GB2312" w:cs="Times New Roman"/>
                <w:color w:val="000000"/>
                <w:sz w:val="21"/>
                <w:szCs w:val="21"/>
                <w:lang w:val="en-US" w:eastAsia="zh-CN"/>
              </w:rPr>
              <w:t>物质</w:t>
            </w:r>
          </w:p>
        </w:tc>
        <w:tc>
          <w:tcPr>
            <w:tcW w:w="3850" w:type="dxa"/>
            <w:vAlign w:val="center"/>
          </w:tcPr>
          <w:p w14:paraId="103C98F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GB/T 8389-2018中附录D</w:t>
            </w:r>
          </w:p>
        </w:tc>
      </w:tr>
      <w:tr w14:paraId="43431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49AC001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6</w:t>
            </w:r>
          </w:p>
        </w:tc>
        <w:tc>
          <w:tcPr>
            <w:tcW w:w="4180" w:type="dxa"/>
            <w:vAlign w:val="center"/>
          </w:tcPr>
          <w:p w14:paraId="72BDA2E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背胶剥离强度</w:t>
            </w:r>
          </w:p>
        </w:tc>
        <w:tc>
          <w:tcPr>
            <w:tcW w:w="3850" w:type="dxa"/>
            <w:vAlign w:val="center"/>
          </w:tcPr>
          <w:p w14:paraId="70A499E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GB/T 8389-2018中附录E</w:t>
            </w:r>
          </w:p>
        </w:tc>
      </w:tr>
      <w:tr w14:paraId="76900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30C316D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7</w:t>
            </w:r>
          </w:p>
        </w:tc>
        <w:tc>
          <w:tcPr>
            <w:tcW w:w="4180" w:type="dxa"/>
            <w:vAlign w:val="center"/>
          </w:tcPr>
          <w:p w14:paraId="44891F5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lang w:eastAsia="en-US"/>
              </w:rPr>
              <w:t>细菌菌落总数</w:t>
            </w:r>
          </w:p>
        </w:tc>
        <w:tc>
          <w:tcPr>
            <w:tcW w:w="3850" w:type="dxa"/>
            <w:vAlign w:val="center"/>
          </w:tcPr>
          <w:p w14:paraId="21CE12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仿宋_GB2312" w:cs="Times New Roman"/>
                <w:color w:val="000000"/>
                <w:sz w:val="21"/>
                <w:szCs w:val="21"/>
                <w:lang w:eastAsia="zh-CN"/>
              </w:rPr>
            </w:pPr>
            <w:r>
              <w:rPr>
                <w:rFonts w:ascii="Times New Roman" w:hAnsi="Times New Roman" w:eastAsia="仿宋_GB2312" w:cs="Times New Roman"/>
                <w:color w:val="000000"/>
                <w:sz w:val="21"/>
                <w:szCs w:val="21"/>
                <w:lang w:eastAsia="en-US"/>
              </w:rPr>
              <w:t>GB</w:t>
            </w:r>
            <w:r>
              <w:rPr>
                <w:rFonts w:hint="eastAsia" w:ascii="Times New Roman" w:hAnsi="Times New Roman" w:eastAsia="仿宋_GB2312" w:cs="Times New Roman"/>
                <w:color w:val="000000"/>
                <w:sz w:val="21"/>
                <w:szCs w:val="21"/>
              </w:rPr>
              <w:t xml:space="preserve"> </w:t>
            </w:r>
            <w:r>
              <w:rPr>
                <w:rFonts w:ascii="Times New Roman" w:hAnsi="Times New Roman" w:eastAsia="仿宋_GB2312" w:cs="Times New Roman"/>
                <w:color w:val="000000"/>
                <w:sz w:val="21"/>
                <w:szCs w:val="21"/>
                <w:lang w:eastAsia="en-US"/>
              </w:rPr>
              <w:t>15979-2002</w:t>
            </w:r>
            <w:r>
              <w:rPr>
                <w:rFonts w:hint="eastAsia" w:ascii="Times New Roman" w:hAnsi="Times New Roman" w:eastAsia="仿宋_GB2312" w:cs="Times New Roman"/>
                <w:color w:val="000000"/>
                <w:sz w:val="21"/>
                <w:szCs w:val="21"/>
                <w:lang w:eastAsia="zh-CN"/>
              </w:rPr>
              <w:t>（</w:t>
            </w:r>
            <w:r>
              <w:rPr>
                <w:rFonts w:hint="eastAsia" w:ascii="Times New Roman" w:hAnsi="Times New Roman" w:eastAsia="仿宋_GB2312" w:cs="Times New Roman"/>
                <w:color w:val="000000"/>
                <w:sz w:val="21"/>
                <w:szCs w:val="21"/>
                <w:lang w:val="en-US" w:eastAsia="zh-CN"/>
              </w:rPr>
              <w:t>2024</w:t>
            </w:r>
            <w:r>
              <w:rPr>
                <w:rFonts w:hint="eastAsia" w:ascii="Times New Roman" w:hAnsi="Times New Roman" w:eastAsia="仿宋_GB2312" w:cs="Times New Roman"/>
                <w:color w:val="000000"/>
                <w:sz w:val="21"/>
                <w:szCs w:val="21"/>
                <w:lang w:eastAsia="zh-CN"/>
              </w:rPr>
              <w:t>）</w:t>
            </w:r>
          </w:p>
        </w:tc>
      </w:tr>
      <w:tr w14:paraId="1E99C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1AA6201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8</w:t>
            </w:r>
          </w:p>
        </w:tc>
        <w:tc>
          <w:tcPr>
            <w:tcW w:w="4180" w:type="dxa"/>
            <w:vAlign w:val="center"/>
          </w:tcPr>
          <w:p w14:paraId="2889789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lang w:eastAsia="en-US"/>
              </w:rPr>
              <w:t>大肠菌群</w:t>
            </w:r>
          </w:p>
        </w:tc>
        <w:tc>
          <w:tcPr>
            <w:tcW w:w="3850" w:type="dxa"/>
            <w:vAlign w:val="center"/>
          </w:tcPr>
          <w:p w14:paraId="2E49C86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lang w:eastAsia="en-US"/>
              </w:rPr>
              <w:t>GB</w:t>
            </w:r>
            <w:r>
              <w:rPr>
                <w:rFonts w:hint="eastAsia" w:ascii="Times New Roman" w:hAnsi="Times New Roman" w:eastAsia="仿宋_GB2312" w:cs="Times New Roman"/>
                <w:color w:val="000000"/>
                <w:sz w:val="21"/>
                <w:szCs w:val="21"/>
              </w:rPr>
              <w:t xml:space="preserve"> </w:t>
            </w:r>
            <w:r>
              <w:rPr>
                <w:rFonts w:ascii="Times New Roman" w:hAnsi="Times New Roman" w:eastAsia="仿宋_GB2312" w:cs="Times New Roman"/>
                <w:color w:val="000000"/>
                <w:sz w:val="21"/>
                <w:szCs w:val="21"/>
                <w:lang w:eastAsia="en-US"/>
              </w:rPr>
              <w:t>15979-2002</w:t>
            </w:r>
            <w:r>
              <w:rPr>
                <w:rFonts w:hint="eastAsia" w:ascii="Times New Roman" w:hAnsi="Times New Roman" w:eastAsia="仿宋_GB2312" w:cs="Times New Roman"/>
                <w:color w:val="000000"/>
                <w:sz w:val="21"/>
                <w:szCs w:val="21"/>
                <w:lang w:eastAsia="zh-CN"/>
              </w:rPr>
              <w:t>（</w:t>
            </w:r>
            <w:r>
              <w:rPr>
                <w:rFonts w:hint="eastAsia" w:ascii="Times New Roman" w:hAnsi="Times New Roman" w:eastAsia="仿宋_GB2312" w:cs="Times New Roman"/>
                <w:color w:val="000000"/>
                <w:sz w:val="21"/>
                <w:szCs w:val="21"/>
                <w:lang w:val="en-US" w:eastAsia="zh-CN"/>
              </w:rPr>
              <w:t>2024</w:t>
            </w:r>
            <w:r>
              <w:rPr>
                <w:rFonts w:hint="eastAsia" w:ascii="Times New Roman" w:hAnsi="Times New Roman" w:eastAsia="仿宋_GB2312" w:cs="Times New Roman"/>
                <w:color w:val="000000"/>
                <w:sz w:val="21"/>
                <w:szCs w:val="21"/>
                <w:lang w:eastAsia="zh-CN"/>
              </w:rPr>
              <w:t>）</w:t>
            </w:r>
          </w:p>
        </w:tc>
      </w:tr>
      <w:tr w14:paraId="1AEA2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16C6F3F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9</w:t>
            </w:r>
          </w:p>
        </w:tc>
        <w:tc>
          <w:tcPr>
            <w:tcW w:w="4180" w:type="dxa"/>
            <w:vAlign w:val="center"/>
          </w:tcPr>
          <w:p w14:paraId="1CAA9CC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lang w:eastAsia="en-US"/>
              </w:rPr>
              <w:t>金黄色葡萄球菌</w:t>
            </w:r>
          </w:p>
        </w:tc>
        <w:tc>
          <w:tcPr>
            <w:tcW w:w="3850" w:type="dxa"/>
            <w:vAlign w:val="center"/>
          </w:tcPr>
          <w:p w14:paraId="614B86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lang w:eastAsia="en-US"/>
              </w:rPr>
              <w:t>GB</w:t>
            </w:r>
            <w:r>
              <w:rPr>
                <w:rFonts w:hint="eastAsia" w:ascii="Times New Roman" w:hAnsi="Times New Roman" w:eastAsia="仿宋_GB2312" w:cs="Times New Roman"/>
                <w:color w:val="000000"/>
                <w:sz w:val="21"/>
                <w:szCs w:val="21"/>
              </w:rPr>
              <w:t xml:space="preserve"> </w:t>
            </w:r>
            <w:r>
              <w:rPr>
                <w:rFonts w:ascii="Times New Roman" w:hAnsi="Times New Roman" w:eastAsia="仿宋_GB2312" w:cs="Times New Roman"/>
                <w:color w:val="000000"/>
                <w:sz w:val="21"/>
                <w:szCs w:val="21"/>
                <w:lang w:eastAsia="en-US"/>
              </w:rPr>
              <w:t>15979-2002</w:t>
            </w:r>
            <w:r>
              <w:rPr>
                <w:rFonts w:hint="eastAsia" w:ascii="Times New Roman" w:hAnsi="Times New Roman" w:eastAsia="仿宋_GB2312" w:cs="Times New Roman"/>
                <w:color w:val="000000"/>
                <w:sz w:val="21"/>
                <w:szCs w:val="21"/>
                <w:lang w:eastAsia="zh-CN"/>
              </w:rPr>
              <w:t>（</w:t>
            </w:r>
            <w:r>
              <w:rPr>
                <w:rFonts w:hint="eastAsia" w:ascii="Times New Roman" w:hAnsi="Times New Roman" w:eastAsia="仿宋_GB2312" w:cs="Times New Roman"/>
                <w:color w:val="000000"/>
                <w:sz w:val="21"/>
                <w:szCs w:val="21"/>
                <w:lang w:val="en-US" w:eastAsia="zh-CN"/>
              </w:rPr>
              <w:t>2024</w:t>
            </w:r>
            <w:r>
              <w:rPr>
                <w:rFonts w:hint="eastAsia" w:ascii="Times New Roman" w:hAnsi="Times New Roman" w:eastAsia="仿宋_GB2312" w:cs="Times New Roman"/>
                <w:color w:val="000000"/>
                <w:sz w:val="21"/>
                <w:szCs w:val="21"/>
                <w:lang w:eastAsia="zh-CN"/>
              </w:rPr>
              <w:t>）</w:t>
            </w:r>
          </w:p>
        </w:tc>
      </w:tr>
      <w:tr w14:paraId="48BCD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02CB3D1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10</w:t>
            </w:r>
          </w:p>
        </w:tc>
        <w:tc>
          <w:tcPr>
            <w:tcW w:w="4180" w:type="dxa"/>
            <w:vAlign w:val="center"/>
          </w:tcPr>
          <w:p w14:paraId="34C05D8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lang w:eastAsia="en-US"/>
              </w:rPr>
              <w:t>铜绿假单胞菌</w:t>
            </w:r>
          </w:p>
        </w:tc>
        <w:tc>
          <w:tcPr>
            <w:tcW w:w="3850" w:type="dxa"/>
            <w:vAlign w:val="center"/>
          </w:tcPr>
          <w:p w14:paraId="5DF7BD4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lang w:eastAsia="en-US"/>
              </w:rPr>
              <w:t>GB</w:t>
            </w:r>
            <w:r>
              <w:rPr>
                <w:rFonts w:hint="eastAsia" w:ascii="Times New Roman" w:hAnsi="Times New Roman" w:eastAsia="仿宋_GB2312" w:cs="Times New Roman"/>
                <w:color w:val="000000"/>
                <w:sz w:val="21"/>
                <w:szCs w:val="21"/>
              </w:rPr>
              <w:t xml:space="preserve"> </w:t>
            </w:r>
            <w:r>
              <w:rPr>
                <w:rFonts w:ascii="Times New Roman" w:hAnsi="Times New Roman" w:eastAsia="仿宋_GB2312" w:cs="Times New Roman"/>
                <w:color w:val="000000"/>
                <w:sz w:val="21"/>
                <w:szCs w:val="21"/>
                <w:lang w:eastAsia="en-US"/>
              </w:rPr>
              <w:t>15979-2002</w:t>
            </w:r>
            <w:r>
              <w:rPr>
                <w:rFonts w:hint="eastAsia" w:ascii="Times New Roman" w:hAnsi="Times New Roman" w:eastAsia="仿宋_GB2312" w:cs="Times New Roman"/>
                <w:color w:val="000000"/>
                <w:sz w:val="21"/>
                <w:szCs w:val="21"/>
                <w:lang w:eastAsia="zh-CN"/>
              </w:rPr>
              <w:t>（</w:t>
            </w:r>
            <w:r>
              <w:rPr>
                <w:rFonts w:hint="eastAsia" w:ascii="Times New Roman" w:hAnsi="Times New Roman" w:eastAsia="仿宋_GB2312" w:cs="Times New Roman"/>
                <w:color w:val="000000"/>
                <w:sz w:val="21"/>
                <w:szCs w:val="21"/>
                <w:lang w:val="en-US" w:eastAsia="zh-CN"/>
              </w:rPr>
              <w:t>2024</w:t>
            </w:r>
            <w:r>
              <w:rPr>
                <w:rFonts w:hint="eastAsia" w:ascii="Times New Roman" w:hAnsi="Times New Roman" w:eastAsia="仿宋_GB2312" w:cs="Times New Roman"/>
                <w:color w:val="000000"/>
                <w:sz w:val="21"/>
                <w:szCs w:val="21"/>
                <w:lang w:eastAsia="zh-CN"/>
              </w:rPr>
              <w:t>）</w:t>
            </w:r>
          </w:p>
        </w:tc>
      </w:tr>
      <w:tr w14:paraId="5ABC6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4B7BD65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11</w:t>
            </w:r>
          </w:p>
        </w:tc>
        <w:tc>
          <w:tcPr>
            <w:tcW w:w="4180" w:type="dxa"/>
            <w:vAlign w:val="center"/>
          </w:tcPr>
          <w:p w14:paraId="6DD3E9E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lang w:eastAsia="en-US"/>
              </w:rPr>
            </w:pPr>
            <w:r>
              <w:rPr>
                <w:rFonts w:ascii="Times New Roman" w:hAnsi="Times New Roman" w:eastAsia="仿宋_GB2312" w:cs="Times New Roman"/>
                <w:color w:val="000000"/>
                <w:sz w:val="21"/>
                <w:szCs w:val="21"/>
                <w:lang w:eastAsia="en-US"/>
              </w:rPr>
              <w:t>溶血性链球菌</w:t>
            </w:r>
          </w:p>
        </w:tc>
        <w:tc>
          <w:tcPr>
            <w:tcW w:w="3850" w:type="dxa"/>
            <w:vAlign w:val="center"/>
          </w:tcPr>
          <w:p w14:paraId="7771B98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lang w:eastAsia="en-US"/>
              </w:rPr>
              <w:t>GB</w:t>
            </w:r>
            <w:r>
              <w:rPr>
                <w:rFonts w:hint="eastAsia" w:ascii="Times New Roman" w:hAnsi="Times New Roman" w:eastAsia="仿宋_GB2312" w:cs="Times New Roman"/>
                <w:color w:val="000000"/>
                <w:sz w:val="21"/>
                <w:szCs w:val="21"/>
              </w:rPr>
              <w:t xml:space="preserve"> </w:t>
            </w:r>
            <w:r>
              <w:rPr>
                <w:rFonts w:ascii="Times New Roman" w:hAnsi="Times New Roman" w:eastAsia="仿宋_GB2312" w:cs="Times New Roman"/>
                <w:color w:val="000000"/>
                <w:sz w:val="21"/>
                <w:szCs w:val="21"/>
                <w:lang w:eastAsia="en-US"/>
              </w:rPr>
              <w:t>15979-2002</w:t>
            </w:r>
            <w:r>
              <w:rPr>
                <w:rFonts w:hint="eastAsia" w:ascii="Times New Roman" w:hAnsi="Times New Roman" w:eastAsia="仿宋_GB2312" w:cs="Times New Roman"/>
                <w:color w:val="000000"/>
                <w:sz w:val="21"/>
                <w:szCs w:val="21"/>
                <w:lang w:eastAsia="zh-CN"/>
              </w:rPr>
              <w:t>（</w:t>
            </w:r>
            <w:r>
              <w:rPr>
                <w:rFonts w:hint="eastAsia" w:ascii="Times New Roman" w:hAnsi="Times New Roman" w:eastAsia="仿宋_GB2312" w:cs="Times New Roman"/>
                <w:color w:val="000000"/>
                <w:sz w:val="21"/>
                <w:szCs w:val="21"/>
                <w:lang w:val="en-US" w:eastAsia="zh-CN"/>
              </w:rPr>
              <w:t>2024</w:t>
            </w:r>
            <w:r>
              <w:rPr>
                <w:rFonts w:hint="eastAsia" w:ascii="Times New Roman" w:hAnsi="Times New Roman" w:eastAsia="仿宋_GB2312" w:cs="Times New Roman"/>
                <w:color w:val="000000"/>
                <w:sz w:val="21"/>
                <w:szCs w:val="21"/>
                <w:lang w:eastAsia="zh-CN"/>
              </w:rPr>
              <w:t>）</w:t>
            </w:r>
          </w:p>
        </w:tc>
      </w:tr>
      <w:tr w14:paraId="6BDA2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0" w:type="dxa"/>
            <w:vAlign w:val="center"/>
          </w:tcPr>
          <w:p w14:paraId="4AC0762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12</w:t>
            </w:r>
          </w:p>
        </w:tc>
        <w:tc>
          <w:tcPr>
            <w:tcW w:w="4180" w:type="dxa"/>
            <w:vAlign w:val="center"/>
          </w:tcPr>
          <w:p w14:paraId="40C6D62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lang w:eastAsia="en-US"/>
              </w:rPr>
            </w:pPr>
            <w:r>
              <w:rPr>
                <w:rFonts w:ascii="Times New Roman" w:hAnsi="Times New Roman" w:eastAsia="仿宋_GB2312" w:cs="Times New Roman"/>
                <w:color w:val="000000"/>
                <w:sz w:val="21"/>
                <w:szCs w:val="21"/>
                <w:lang w:eastAsia="en-US"/>
              </w:rPr>
              <w:t>真菌菌落总数</w:t>
            </w:r>
          </w:p>
        </w:tc>
        <w:tc>
          <w:tcPr>
            <w:tcW w:w="3850" w:type="dxa"/>
            <w:vAlign w:val="center"/>
          </w:tcPr>
          <w:p w14:paraId="57CE4EC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lang w:eastAsia="en-US"/>
              </w:rPr>
              <w:t>GB</w:t>
            </w:r>
            <w:r>
              <w:rPr>
                <w:rFonts w:hint="eastAsia" w:ascii="Times New Roman" w:hAnsi="Times New Roman" w:eastAsia="仿宋_GB2312" w:cs="Times New Roman"/>
                <w:color w:val="000000"/>
                <w:sz w:val="21"/>
                <w:szCs w:val="21"/>
              </w:rPr>
              <w:t xml:space="preserve"> </w:t>
            </w:r>
            <w:r>
              <w:rPr>
                <w:rFonts w:ascii="Times New Roman" w:hAnsi="Times New Roman" w:eastAsia="仿宋_GB2312" w:cs="Times New Roman"/>
                <w:color w:val="000000"/>
                <w:sz w:val="21"/>
                <w:szCs w:val="21"/>
                <w:lang w:eastAsia="en-US"/>
              </w:rPr>
              <w:t>15979-2002</w:t>
            </w:r>
            <w:r>
              <w:rPr>
                <w:rFonts w:hint="eastAsia" w:ascii="Times New Roman" w:hAnsi="Times New Roman" w:eastAsia="仿宋_GB2312" w:cs="Times New Roman"/>
                <w:color w:val="000000"/>
                <w:sz w:val="21"/>
                <w:szCs w:val="21"/>
                <w:lang w:eastAsia="zh-CN"/>
              </w:rPr>
              <w:t>（</w:t>
            </w:r>
            <w:r>
              <w:rPr>
                <w:rFonts w:hint="eastAsia" w:ascii="Times New Roman" w:hAnsi="Times New Roman" w:eastAsia="仿宋_GB2312" w:cs="Times New Roman"/>
                <w:color w:val="000000"/>
                <w:sz w:val="21"/>
                <w:szCs w:val="21"/>
                <w:lang w:val="en-US" w:eastAsia="zh-CN"/>
              </w:rPr>
              <w:t>2024</w:t>
            </w:r>
            <w:r>
              <w:rPr>
                <w:rFonts w:hint="eastAsia" w:ascii="Times New Roman" w:hAnsi="Times New Roman" w:eastAsia="仿宋_GB2312" w:cs="Times New Roman"/>
                <w:color w:val="000000"/>
                <w:sz w:val="21"/>
                <w:szCs w:val="21"/>
                <w:lang w:eastAsia="zh-CN"/>
              </w:rPr>
              <w:t>）</w:t>
            </w:r>
          </w:p>
        </w:tc>
      </w:tr>
      <w:tr w14:paraId="4F6D2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900" w:type="dxa"/>
            <w:gridSpan w:val="3"/>
            <w:vAlign w:val="center"/>
          </w:tcPr>
          <w:p w14:paraId="57F669D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default" w:ascii="Times New Roman" w:hAnsi="Times New Roman" w:eastAsia="仿宋_GB2312" w:cs="Times New Roman"/>
                <w:color w:val="000000"/>
                <w:sz w:val="21"/>
                <w:szCs w:val="21"/>
                <w:lang w:val="en-US" w:eastAsia="zh-CN"/>
              </w:rPr>
            </w:pPr>
            <w:r>
              <w:rPr>
                <w:rFonts w:hint="eastAsia" w:ascii="Times New Roman" w:hAnsi="Times New Roman" w:eastAsia="仿宋_GB2312" w:cs="Times New Roman"/>
                <w:color w:val="000000"/>
                <w:sz w:val="21"/>
                <w:szCs w:val="21"/>
                <w:lang w:val="en-US" w:eastAsia="zh-CN"/>
              </w:rPr>
              <w:t>备注：吸收速度项目仅适用于卫生巾产品，不适用于卫生护垫产品。</w:t>
            </w:r>
          </w:p>
        </w:tc>
      </w:tr>
    </w:tbl>
    <w:p w14:paraId="73CF060B">
      <w:pPr>
        <w:keepNext w:val="0"/>
        <w:keepLines w:val="0"/>
        <w:pageBreakBefore w:val="0"/>
        <w:widowControl w:val="0"/>
        <w:kinsoku/>
        <w:wordWrap/>
        <w:overflowPunct/>
        <w:topLinePunct w:val="0"/>
        <w:autoSpaceDE/>
        <w:autoSpaceDN/>
        <w:bidi w:val="0"/>
        <w:adjustRightInd w:val="0"/>
        <w:snapToGrid w:val="0"/>
        <w:spacing w:line="360" w:lineRule="auto"/>
        <w:ind w:firstLine="408" w:firstLineChars="200"/>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执行企业标准、团体标准、地方标准的产品，检验项目参照上述内容执行。</w:t>
      </w:r>
    </w:p>
    <w:p w14:paraId="155E81F6">
      <w:pPr>
        <w:keepNext w:val="0"/>
        <w:keepLines w:val="0"/>
        <w:pageBreakBefore w:val="0"/>
        <w:widowControl w:val="0"/>
        <w:kinsoku/>
        <w:wordWrap/>
        <w:overflowPunct/>
        <w:topLinePunct w:val="0"/>
        <w:autoSpaceDE/>
        <w:autoSpaceDN/>
        <w:bidi w:val="0"/>
        <w:snapToGrid w:val="0"/>
        <w:spacing w:line="360" w:lineRule="auto"/>
        <w:ind w:firstLine="406" w:firstLineChars="199"/>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凡是注日期的文件，其随后所有的修改单（不包括勘误的内容）或修订版不适用于本细则。凡是不注日期的文件，其最新版本适用于本细则。</w:t>
      </w:r>
    </w:p>
    <w:p w14:paraId="48228E48">
      <w:pPr>
        <w:keepNext w:val="0"/>
        <w:keepLines w:val="0"/>
        <w:pageBreakBefore w:val="0"/>
        <w:widowControl w:val="0"/>
        <w:kinsoku/>
        <w:wordWrap/>
        <w:overflowPunct/>
        <w:topLinePunct w:val="0"/>
        <w:autoSpaceDE/>
        <w:autoSpaceDN/>
        <w:bidi w:val="0"/>
        <w:spacing w:line="360" w:lineRule="auto"/>
        <w:ind w:firstLine="408" w:firstLineChars="200"/>
        <w:textAlignment w:val="auto"/>
        <w:rPr>
          <w:rFonts w:ascii="Times New Roman" w:hAnsi="Times New Roman" w:eastAsia="黑体" w:cs="Times New Roman"/>
          <w:b/>
          <w:bCs/>
          <w:color w:val="000000"/>
          <w:sz w:val="21"/>
          <w:szCs w:val="21"/>
        </w:rPr>
      </w:pPr>
      <w:r>
        <w:rPr>
          <w:rFonts w:ascii="Times New Roman" w:hAnsi="Times New Roman" w:eastAsia="黑体" w:cs="Times New Roman"/>
          <w:b/>
          <w:bCs/>
          <w:color w:val="000000"/>
          <w:sz w:val="21"/>
          <w:szCs w:val="21"/>
        </w:rPr>
        <w:t>3 判定规则</w:t>
      </w:r>
    </w:p>
    <w:p w14:paraId="7E6BD6F3">
      <w:pPr>
        <w:keepNext w:val="0"/>
        <w:keepLines w:val="0"/>
        <w:pageBreakBefore w:val="0"/>
        <w:widowControl w:val="0"/>
        <w:kinsoku/>
        <w:wordWrap/>
        <w:overflowPunct/>
        <w:topLinePunct w:val="0"/>
        <w:autoSpaceDE/>
        <w:autoSpaceDN/>
        <w:bidi w:val="0"/>
        <w:adjustRightInd w:val="0"/>
        <w:snapToGrid w:val="0"/>
        <w:spacing w:line="360" w:lineRule="auto"/>
        <w:ind w:firstLine="408" w:firstLineChars="200"/>
        <w:textAlignment w:val="auto"/>
        <w:rPr>
          <w:rFonts w:ascii="Times New Roman" w:hAnsi="Times New Roman" w:eastAsia="楷体_GB2312" w:cs="Times New Roman"/>
          <w:b/>
          <w:color w:val="000000"/>
          <w:sz w:val="21"/>
          <w:szCs w:val="21"/>
        </w:rPr>
      </w:pPr>
      <w:r>
        <w:rPr>
          <w:rFonts w:ascii="Times New Roman" w:hAnsi="Times New Roman" w:eastAsia="楷体_GB2312" w:cs="Times New Roman"/>
          <w:b/>
          <w:color w:val="000000"/>
          <w:sz w:val="21"/>
          <w:szCs w:val="21"/>
        </w:rPr>
        <w:t>3.1依据标准</w:t>
      </w:r>
    </w:p>
    <w:p w14:paraId="6EC00B65">
      <w:pPr>
        <w:keepNext w:val="0"/>
        <w:keepLines w:val="0"/>
        <w:pageBreakBefore w:val="0"/>
        <w:widowControl w:val="0"/>
        <w:kinsoku/>
        <w:wordWrap/>
        <w:overflowPunct/>
        <w:topLinePunct w:val="0"/>
        <w:autoSpaceDE/>
        <w:autoSpaceDN/>
        <w:bidi w:val="0"/>
        <w:snapToGrid w:val="0"/>
        <w:spacing w:line="360" w:lineRule="auto"/>
        <w:ind w:firstLine="408" w:firstLineChars="200"/>
        <w:textAlignment w:val="auto"/>
        <w:rPr>
          <w:rFonts w:ascii="Times New Roman" w:hAnsi="Times New Roman" w:eastAsia="仿宋_GB2312" w:cs="Times New Roman"/>
          <w:color w:val="000000"/>
          <w:sz w:val="21"/>
          <w:szCs w:val="21"/>
        </w:rPr>
      </w:pPr>
      <w:r>
        <w:rPr>
          <w:rFonts w:hint="eastAsia" w:ascii="Times New Roman" w:hAnsi="Times New Roman" w:eastAsia="仿宋_GB2312" w:cs="Times New Roman"/>
          <w:color w:val="000000"/>
          <w:sz w:val="21"/>
          <w:szCs w:val="21"/>
        </w:rPr>
        <w:t>GB 15979-2002（2024）</w:t>
      </w:r>
      <w:r>
        <w:rPr>
          <w:rFonts w:ascii="Times New Roman" w:hAnsi="Times New Roman" w:eastAsia="仿宋_GB2312" w:cs="Times New Roman"/>
          <w:color w:val="000000"/>
          <w:sz w:val="21"/>
          <w:szCs w:val="21"/>
        </w:rPr>
        <w:t>《一次性使用卫生用品卫生标准》</w:t>
      </w:r>
    </w:p>
    <w:p w14:paraId="3E7229E0">
      <w:pPr>
        <w:keepNext w:val="0"/>
        <w:keepLines w:val="0"/>
        <w:pageBreakBefore w:val="0"/>
        <w:widowControl w:val="0"/>
        <w:kinsoku/>
        <w:wordWrap/>
        <w:overflowPunct/>
        <w:topLinePunct w:val="0"/>
        <w:autoSpaceDE/>
        <w:autoSpaceDN/>
        <w:bidi w:val="0"/>
        <w:snapToGrid w:val="0"/>
        <w:spacing w:line="360" w:lineRule="auto"/>
        <w:ind w:firstLine="408" w:firstLineChars="200"/>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GB/T 8939-2018《卫生巾（护垫）》</w:t>
      </w:r>
    </w:p>
    <w:p w14:paraId="2BDE41E3">
      <w:pPr>
        <w:keepNext w:val="0"/>
        <w:keepLines w:val="0"/>
        <w:pageBreakBefore w:val="0"/>
        <w:widowControl w:val="0"/>
        <w:kinsoku/>
        <w:wordWrap/>
        <w:overflowPunct/>
        <w:topLinePunct w:val="0"/>
        <w:autoSpaceDE/>
        <w:autoSpaceDN/>
        <w:bidi w:val="0"/>
        <w:spacing w:line="360" w:lineRule="auto"/>
        <w:ind w:firstLine="408" w:firstLineChars="200"/>
        <w:textAlignment w:val="auto"/>
        <w:rPr>
          <w:rFonts w:ascii="Times New Roman" w:hAnsi="Times New Roman" w:eastAsia="仿宋_GB2312" w:cs="Times New Roman"/>
          <w:sz w:val="21"/>
          <w:szCs w:val="21"/>
          <w:lang w:val="zh-CN"/>
        </w:rPr>
      </w:pPr>
      <w:r>
        <w:rPr>
          <w:rFonts w:ascii="Times New Roman" w:hAnsi="Times New Roman" w:eastAsia="仿宋_GB2312" w:cs="Times New Roman"/>
          <w:color w:val="000000"/>
          <w:sz w:val="21"/>
          <w:szCs w:val="21"/>
        </w:rPr>
        <w:t>现行有效的企业标准、团体标准、地方标准及产品明示质量要求。</w:t>
      </w:r>
    </w:p>
    <w:p w14:paraId="0C32747F">
      <w:pPr>
        <w:keepNext w:val="0"/>
        <w:keepLines w:val="0"/>
        <w:pageBreakBefore w:val="0"/>
        <w:widowControl w:val="0"/>
        <w:kinsoku/>
        <w:wordWrap/>
        <w:overflowPunct/>
        <w:topLinePunct w:val="0"/>
        <w:autoSpaceDE/>
        <w:autoSpaceDN/>
        <w:bidi w:val="0"/>
        <w:adjustRightInd w:val="0"/>
        <w:snapToGrid w:val="0"/>
        <w:spacing w:line="360" w:lineRule="auto"/>
        <w:ind w:firstLine="408" w:firstLineChars="200"/>
        <w:textAlignment w:val="auto"/>
        <w:rPr>
          <w:rFonts w:ascii="Times New Roman" w:hAnsi="Times New Roman" w:eastAsia="楷体_GB2312" w:cs="Times New Roman"/>
          <w:b/>
          <w:color w:val="000000"/>
          <w:sz w:val="21"/>
          <w:szCs w:val="21"/>
        </w:rPr>
      </w:pPr>
      <w:r>
        <w:rPr>
          <w:rFonts w:ascii="Times New Roman" w:hAnsi="Times New Roman" w:eastAsia="楷体_GB2312" w:cs="Times New Roman"/>
          <w:b/>
          <w:color w:val="000000"/>
          <w:sz w:val="21"/>
          <w:szCs w:val="21"/>
        </w:rPr>
        <w:t>3.2判定原则</w:t>
      </w:r>
    </w:p>
    <w:p w14:paraId="492B538F">
      <w:pPr>
        <w:keepNext w:val="0"/>
        <w:keepLines w:val="0"/>
        <w:pageBreakBefore w:val="0"/>
        <w:widowControl w:val="0"/>
        <w:kinsoku/>
        <w:wordWrap/>
        <w:overflowPunct/>
        <w:topLinePunct w:val="0"/>
        <w:autoSpaceDE/>
        <w:autoSpaceDN/>
        <w:bidi w:val="0"/>
        <w:snapToGrid w:val="0"/>
        <w:spacing w:line="360" w:lineRule="auto"/>
        <w:ind w:firstLine="408" w:firstLineChars="200"/>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经检验，检验项目全部合格，判定为被抽查产品合格；检验项目中任一项或一项以上不合格，判定为被抽查产品不合格。</w:t>
      </w:r>
    </w:p>
    <w:p w14:paraId="01517F17">
      <w:pPr>
        <w:keepNext w:val="0"/>
        <w:keepLines w:val="0"/>
        <w:pageBreakBefore w:val="0"/>
        <w:widowControl w:val="0"/>
        <w:kinsoku/>
        <w:wordWrap/>
        <w:overflowPunct/>
        <w:topLinePunct w:val="0"/>
        <w:autoSpaceDE/>
        <w:autoSpaceDN/>
        <w:bidi w:val="0"/>
        <w:snapToGrid w:val="0"/>
        <w:spacing w:line="360" w:lineRule="auto"/>
        <w:ind w:firstLine="406" w:firstLineChars="199"/>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若被检产品明示的质量要求高于本细则中检验项目依据的标准要求时，应按被检产品明示的质量要求判定。</w:t>
      </w:r>
    </w:p>
    <w:p w14:paraId="77A036DB">
      <w:pPr>
        <w:keepNext w:val="0"/>
        <w:keepLines w:val="0"/>
        <w:pageBreakBefore w:val="0"/>
        <w:widowControl w:val="0"/>
        <w:kinsoku/>
        <w:wordWrap/>
        <w:overflowPunct/>
        <w:topLinePunct w:val="0"/>
        <w:autoSpaceDE/>
        <w:autoSpaceDN/>
        <w:bidi w:val="0"/>
        <w:snapToGrid w:val="0"/>
        <w:spacing w:line="360" w:lineRule="auto"/>
        <w:ind w:firstLine="406" w:firstLineChars="199"/>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若被检产品明示的质量要求低于本细则中检验项目依据的强制性标准要求时，应按照强制性标准要求判定。</w:t>
      </w:r>
    </w:p>
    <w:p w14:paraId="154512E4">
      <w:pPr>
        <w:keepNext w:val="0"/>
        <w:keepLines w:val="0"/>
        <w:pageBreakBefore w:val="0"/>
        <w:widowControl w:val="0"/>
        <w:kinsoku/>
        <w:wordWrap/>
        <w:overflowPunct/>
        <w:topLinePunct w:val="0"/>
        <w:autoSpaceDE/>
        <w:autoSpaceDN/>
        <w:bidi w:val="0"/>
        <w:snapToGrid w:val="0"/>
        <w:spacing w:line="360" w:lineRule="auto"/>
        <w:ind w:firstLine="406" w:firstLineChars="199"/>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若被检产品明示的质量要求低于或包含本细则中检验项目依据的推荐性标准要求时，应以被检产品明示的质量要求判定。</w:t>
      </w:r>
    </w:p>
    <w:p w14:paraId="1DF0B6F9">
      <w:pPr>
        <w:keepNext w:val="0"/>
        <w:keepLines w:val="0"/>
        <w:pageBreakBefore w:val="0"/>
        <w:widowControl w:val="0"/>
        <w:kinsoku/>
        <w:wordWrap/>
        <w:overflowPunct/>
        <w:topLinePunct w:val="0"/>
        <w:autoSpaceDE/>
        <w:autoSpaceDN/>
        <w:bidi w:val="0"/>
        <w:snapToGrid w:val="0"/>
        <w:spacing w:line="360" w:lineRule="auto"/>
        <w:ind w:firstLine="406" w:firstLineChars="199"/>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若被检产品明示的质量要求缺少本细则中检验项目依据的强制性标准要求时，应按照强制性标准要求判定。</w:t>
      </w:r>
    </w:p>
    <w:p w14:paraId="6A111C71">
      <w:pPr>
        <w:keepNext w:val="0"/>
        <w:keepLines w:val="0"/>
        <w:pageBreakBefore w:val="0"/>
        <w:widowControl w:val="0"/>
        <w:kinsoku/>
        <w:wordWrap/>
        <w:overflowPunct/>
        <w:topLinePunct w:val="0"/>
        <w:autoSpaceDE/>
        <w:autoSpaceDN/>
        <w:bidi w:val="0"/>
        <w:snapToGrid w:val="0"/>
        <w:spacing w:line="360" w:lineRule="auto"/>
        <w:ind w:firstLine="406" w:firstLineChars="199"/>
        <w:textAlignment w:val="auto"/>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若被检产品明示的质量要求缺少本细则中检验项目依据的推荐性标准要求时，该项目不参与判定。</w:t>
      </w:r>
    </w:p>
    <w:sectPr>
      <w:footerReference r:id="rId3" w:type="default"/>
      <w:pgSz w:w="11906" w:h="16838"/>
      <w:pgMar w:top="1984" w:right="1474" w:bottom="1361" w:left="1474" w:header="851" w:footer="1361" w:gutter="0"/>
      <w:cols w:space="0" w:num="1"/>
      <w:docGrid w:type="linesAndChars" w:linePitch="298" w:charSpace="-1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56718">
    <w:pPr>
      <w:pStyle w:val="3"/>
      <w:jc w:val="center"/>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sdt>
                <w:sdtPr>
                  <w:rPr>
                    <w:rFonts w:hint="eastAsia" w:ascii="宋体" w:hAnsi="宋体" w:eastAsia="宋体" w:cs="宋体"/>
                    <w:sz w:val="28"/>
                    <w:szCs w:val="28"/>
                  </w:rPr>
                  <w:id w:val="-1261989823"/>
                </w:sdtPr>
                <w:sdtEndPr>
                  <w:rPr>
                    <w:rFonts w:hint="eastAsia" w:ascii="宋体" w:hAnsi="宋体" w:eastAsia="宋体" w:cs="宋体"/>
                    <w:sz w:val="28"/>
                    <w:szCs w:val="28"/>
                  </w:rPr>
                </w:sdtEndPr>
                <w:sdtContent>
                  <w:p w14:paraId="0D7800FA">
                    <w:pPr>
                      <w:pStyle w:val="3"/>
                      <w:ind w:left="315" w:leftChars="150" w:right="315" w:rightChars="150"/>
                      <w:jc w:val="center"/>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lang w:val="zh-CN"/>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sdtContent>
              </w:sdt>
              <w:p w14:paraId="62241703">
                <w:pPr>
                  <w:rPr>
                    <w:rFonts w:ascii="宋体" w:hAnsi="宋体" w:eastAsia="宋体" w:cs="宋体"/>
                    <w:sz w:val="28"/>
                    <w:szCs w:val="28"/>
                  </w:rPr>
                </w:pP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2"/>
  <w:drawingGridVerticalSpacing w:val="149"/>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720F8"/>
    <w:rsid w:val="000049CE"/>
    <w:rsid w:val="00013890"/>
    <w:rsid w:val="000232F9"/>
    <w:rsid w:val="0004524E"/>
    <w:rsid w:val="000500E0"/>
    <w:rsid w:val="000731C9"/>
    <w:rsid w:val="000A67A7"/>
    <w:rsid w:val="000C5CBE"/>
    <w:rsid w:val="000E21AE"/>
    <w:rsid w:val="000E741B"/>
    <w:rsid w:val="00111EBD"/>
    <w:rsid w:val="001850A2"/>
    <w:rsid w:val="001C2564"/>
    <w:rsid w:val="001D4E92"/>
    <w:rsid w:val="001E0F6D"/>
    <w:rsid w:val="001E79D2"/>
    <w:rsid w:val="002039FE"/>
    <w:rsid w:val="00206D31"/>
    <w:rsid w:val="00224E34"/>
    <w:rsid w:val="0023233E"/>
    <w:rsid w:val="002455DC"/>
    <w:rsid w:val="00266EA3"/>
    <w:rsid w:val="00271EB5"/>
    <w:rsid w:val="002720F8"/>
    <w:rsid w:val="002A3AAD"/>
    <w:rsid w:val="002B21AB"/>
    <w:rsid w:val="002C7FF9"/>
    <w:rsid w:val="002D31C1"/>
    <w:rsid w:val="002E3C81"/>
    <w:rsid w:val="0032196E"/>
    <w:rsid w:val="003334B6"/>
    <w:rsid w:val="00333D9B"/>
    <w:rsid w:val="00366169"/>
    <w:rsid w:val="00371DAD"/>
    <w:rsid w:val="003A1AFF"/>
    <w:rsid w:val="003C52B9"/>
    <w:rsid w:val="003C60BC"/>
    <w:rsid w:val="003D605A"/>
    <w:rsid w:val="00405F99"/>
    <w:rsid w:val="004148E2"/>
    <w:rsid w:val="00432EB7"/>
    <w:rsid w:val="004356B1"/>
    <w:rsid w:val="00442AF4"/>
    <w:rsid w:val="00460019"/>
    <w:rsid w:val="00492560"/>
    <w:rsid w:val="00493CF3"/>
    <w:rsid w:val="004B2648"/>
    <w:rsid w:val="004B43A2"/>
    <w:rsid w:val="004B7761"/>
    <w:rsid w:val="004E70B3"/>
    <w:rsid w:val="004E7BBF"/>
    <w:rsid w:val="00514D35"/>
    <w:rsid w:val="00563F32"/>
    <w:rsid w:val="00580BA8"/>
    <w:rsid w:val="00581201"/>
    <w:rsid w:val="005951ED"/>
    <w:rsid w:val="005E2062"/>
    <w:rsid w:val="005F6F84"/>
    <w:rsid w:val="00602393"/>
    <w:rsid w:val="006049ED"/>
    <w:rsid w:val="00611970"/>
    <w:rsid w:val="00626EBF"/>
    <w:rsid w:val="00645A0E"/>
    <w:rsid w:val="006529B5"/>
    <w:rsid w:val="00677A07"/>
    <w:rsid w:val="006861DD"/>
    <w:rsid w:val="00690D3D"/>
    <w:rsid w:val="00697C39"/>
    <w:rsid w:val="006B5372"/>
    <w:rsid w:val="006C1431"/>
    <w:rsid w:val="006D0D07"/>
    <w:rsid w:val="006D0E89"/>
    <w:rsid w:val="006D11C9"/>
    <w:rsid w:val="00714FAA"/>
    <w:rsid w:val="007243A5"/>
    <w:rsid w:val="007504BE"/>
    <w:rsid w:val="00762AAE"/>
    <w:rsid w:val="00786089"/>
    <w:rsid w:val="00795BCF"/>
    <w:rsid w:val="007B216C"/>
    <w:rsid w:val="007D1A30"/>
    <w:rsid w:val="007D3664"/>
    <w:rsid w:val="007D548E"/>
    <w:rsid w:val="007E39FB"/>
    <w:rsid w:val="008479E9"/>
    <w:rsid w:val="0086138B"/>
    <w:rsid w:val="00896DB8"/>
    <w:rsid w:val="008D4A95"/>
    <w:rsid w:val="00903196"/>
    <w:rsid w:val="00924447"/>
    <w:rsid w:val="00924F0B"/>
    <w:rsid w:val="00966F02"/>
    <w:rsid w:val="00992192"/>
    <w:rsid w:val="009941C0"/>
    <w:rsid w:val="009D0B18"/>
    <w:rsid w:val="009E1FEB"/>
    <w:rsid w:val="00A42A73"/>
    <w:rsid w:val="00A53AB1"/>
    <w:rsid w:val="00AA79BD"/>
    <w:rsid w:val="00AD06A8"/>
    <w:rsid w:val="00AF2839"/>
    <w:rsid w:val="00B13F17"/>
    <w:rsid w:val="00B250D4"/>
    <w:rsid w:val="00B30457"/>
    <w:rsid w:val="00B720CC"/>
    <w:rsid w:val="00BA52A2"/>
    <w:rsid w:val="00BA6009"/>
    <w:rsid w:val="00C06925"/>
    <w:rsid w:val="00C30EF2"/>
    <w:rsid w:val="00C34866"/>
    <w:rsid w:val="00C65D36"/>
    <w:rsid w:val="00C802EA"/>
    <w:rsid w:val="00CE1036"/>
    <w:rsid w:val="00CE723C"/>
    <w:rsid w:val="00CF2F09"/>
    <w:rsid w:val="00D10A00"/>
    <w:rsid w:val="00D13DF0"/>
    <w:rsid w:val="00D159ED"/>
    <w:rsid w:val="00D21ADA"/>
    <w:rsid w:val="00D36E9D"/>
    <w:rsid w:val="00D523B8"/>
    <w:rsid w:val="00DC2C32"/>
    <w:rsid w:val="00DD068E"/>
    <w:rsid w:val="00DE7E0F"/>
    <w:rsid w:val="00DF1C3D"/>
    <w:rsid w:val="00DF2639"/>
    <w:rsid w:val="00E10A0A"/>
    <w:rsid w:val="00E167CA"/>
    <w:rsid w:val="00E32F4F"/>
    <w:rsid w:val="00E44968"/>
    <w:rsid w:val="00E56919"/>
    <w:rsid w:val="00E73DDF"/>
    <w:rsid w:val="00E81F24"/>
    <w:rsid w:val="00EB737E"/>
    <w:rsid w:val="00EC63B4"/>
    <w:rsid w:val="00EC7CD0"/>
    <w:rsid w:val="00ED0E52"/>
    <w:rsid w:val="00ED7784"/>
    <w:rsid w:val="00EE5575"/>
    <w:rsid w:val="00EF0FF9"/>
    <w:rsid w:val="00F03212"/>
    <w:rsid w:val="00F1388B"/>
    <w:rsid w:val="00F21862"/>
    <w:rsid w:val="00F4297A"/>
    <w:rsid w:val="00F7461A"/>
    <w:rsid w:val="00F77810"/>
    <w:rsid w:val="00F932AA"/>
    <w:rsid w:val="00FD2FD0"/>
    <w:rsid w:val="00FE7884"/>
    <w:rsid w:val="020F7F43"/>
    <w:rsid w:val="03633CE8"/>
    <w:rsid w:val="03BA1A5C"/>
    <w:rsid w:val="04AD267B"/>
    <w:rsid w:val="05426852"/>
    <w:rsid w:val="06A43FD8"/>
    <w:rsid w:val="09B802FA"/>
    <w:rsid w:val="0C090135"/>
    <w:rsid w:val="0E41439B"/>
    <w:rsid w:val="0E5C53D2"/>
    <w:rsid w:val="135636F7"/>
    <w:rsid w:val="18600DA4"/>
    <w:rsid w:val="196C3AD6"/>
    <w:rsid w:val="1A700323"/>
    <w:rsid w:val="1A730087"/>
    <w:rsid w:val="1AF50B53"/>
    <w:rsid w:val="1BAC6E1D"/>
    <w:rsid w:val="1F5C4D44"/>
    <w:rsid w:val="21AE27D6"/>
    <w:rsid w:val="22B51B96"/>
    <w:rsid w:val="24307F76"/>
    <w:rsid w:val="24B701AE"/>
    <w:rsid w:val="268C2FC4"/>
    <w:rsid w:val="28322380"/>
    <w:rsid w:val="29AA79ED"/>
    <w:rsid w:val="2AF62AC9"/>
    <w:rsid w:val="2B45711A"/>
    <w:rsid w:val="2CCF54E4"/>
    <w:rsid w:val="2CF236D9"/>
    <w:rsid w:val="2E191F4D"/>
    <w:rsid w:val="2E5A49E9"/>
    <w:rsid w:val="303C557E"/>
    <w:rsid w:val="31567C67"/>
    <w:rsid w:val="31781EF3"/>
    <w:rsid w:val="321E6965"/>
    <w:rsid w:val="32337CF4"/>
    <w:rsid w:val="32670304"/>
    <w:rsid w:val="32EA6ECB"/>
    <w:rsid w:val="33515BAE"/>
    <w:rsid w:val="3899266B"/>
    <w:rsid w:val="38F677F3"/>
    <w:rsid w:val="392C2202"/>
    <w:rsid w:val="39B11289"/>
    <w:rsid w:val="3A0850D6"/>
    <w:rsid w:val="3A6F3958"/>
    <w:rsid w:val="3C2D68A1"/>
    <w:rsid w:val="3CC04D25"/>
    <w:rsid w:val="3D6E5CB5"/>
    <w:rsid w:val="3E1144CF"/>
    <w:rsid w:val="3EC82C81"/>
    <w:rsid w:val="402356EF"/>
    <w:rsid w:val="402925DA"/>
    <w:rsid w:val="404D13CF"/>
    <w:rsid w:val="45BA5EB7"/>
    <w:rsid w:val="48C570A4"/>
    <w:rsid w:val="49D46CF1"/>
    <w:rsid w:val="49D8009E"/>
    <w:rsid w:val="4BF210B7"/>
    <w:rsid w:val="4D886587"/>
    <w:rsid w:val="4FE85C5D"/>
    <w:rsid w:val="50EB16C5"/>
    <w:rsid w:val="525B487D"/>
    <w:rsid w:val="52C35FEA"/>
    <w:rsid w:val="53226CDE"/>
    <w:rsid w:val="54587C4A"/>
    <w:rsid w:val="55A961F2"/>
    <w:rsid w:val="569C73C1"/>
    <w:rsid w:val="58D861C1"/>
    <w:rsid w:val="5BED2034"/>
    <w:rsid w:val="5C370E42"/>
    <w:rsid w:val="5C6B2DC6"/>
    <w:rsid w:val="5C8517D2"/>
    <w:rsid w:val="6106342E"/>
    <w:rsid w:val="621A3C65"/>
    <w:rsid w:val="62DB05FD"/>
    <w:rsid w:val="62FA12BF"/>
    <w:rsid w:val="63435F73"/>
    <w:rsid w:val="63D51F26"/>
    <w:rsid w:val="64F10CB0"/>
    <w:rsid w:val="66571AF5"/>
    <w:rsid w:val="67DB3077"/>
    <w:rsid w:val="68EA654A"/>
    <w:rsid w:val="6A7348E4"/>
    <w:rsid w:val="6C6F283E"/>
    <w:rsid w:val="6CCA2781"/>
    <w:rsid w:val="6CE1526E"/>
    <w:rsid w:val="6F372B8E"/>
    <w:rsid w:val="72F54E32"/>
    <w:rsid w:val="74374156"/>
    <w:rsid w:val="76635DD9"/>
    <w:rsid w:val="767926DB"/>
    <w:rsid w:val="778465C2"/>
    <w:rsid w:val="78080052"/>
    <w:rsid w:val="789F7665"/>
    <w:rsid w:val="79E45269"/>
    <w:rsid w:val="7B1F613F"/>
    <w:rsid w:val="7D8E700C"/>
    <w:rsid w:val="7EBC0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20"/>
    <w:semiHidden/>
    <w:unhideWhenUsed/>
    <w:qFormat/>
    <w:uiPriority w:val="99"/>
    <w:rPr>
      <w:sz w:val="18"/>
      <w:szCs w:val="18"/>
    </w:rPr>
  </w:style>
  <w:style w:type="paragraph" w:styleId="3">
    <w:name w:val="footer"/>
    <w:basedOn w:val="1"/>
    <w:link w:val="18"/>
    <w:unhideWhenUsed/>
    <w:qFormat/>
    <w:uiPriority w:val="99"/>
    <w:pPr>
      <w:tabs>
        <w:tab w:val="center" w:pos="4153"/>
        <w:tab w:val="right" w:pos="8306"/>
      </w:tabs>
      <w:snapToGrid w:val="0"/>
      <w:jc w:val="left"/>
    </w:pPr>
    <w:rPr>
      <w:sz w:val="18"/>
      <w:szCs w:val="18"/>
    </w:rPr>
  </w:style>
  <w:style w:type="paragraph" w:styleId="4">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Indent 3"/>
    <w:basedOn w:val="1"/>
    <w:link w:val="15"/>
    <w:qFormat/>
    <w:uiPriority w:val="0"/>
    <w:pPr>
      <w:widowControl/>
      <w:autoSpaceDE w:val="0"/>
      <w:autoSpaceDN w:val="0"/>
      <w:adjustRightInd w:val="0"/>
      <w:snapToGrid w:val="0"/>
      <w:spacing w:line="600" w:lineRule="exact"/>
      <w:ind w:left="646" w:leftChars="323" w:firstLine="643" w:firstLineChars="201"/>
    </w:pPr>
    <w:rPr>
      <w:rFonts w:ascii="仿宋_GB2312" w:eastAsia="仿宋_GB2312"/>
      <w:sz w:val="32"/>
    </w:rPr>
  </w:style>
  <w:style w:type="paragraph" w:styleId="6">
    <w:name w:val="HTML Preformatted"/>
    <w:basedOn w:val="1"/>
    <w:link w:val="19"/>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
    <w:name w:val="Normal (Web)"/>
    <w:basedOn w:val="1"/>
    <w:semiHidden/>
    <w:unhideWhenUsed/>
    <w:qFormat/>
    <w:uiPriority w:val="99"/>
    <w:rPr>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99"/>
  </w:style>
  <w:style w:type="character" w:styleId="12">
    <w:name w:val="Hyperlink"/>
    <w:basedOn w:val="10"/>
    <w:semiHidden/>
    <w:unhideWhenUsed/>
    <w:qFormat/>
    <w:uiPriority w:val="99"/>
    <w:rPr>
      <w:color w:val="0000FF"/>
      <w:u w:val="single"/>
    </w:rPr>
  </w:style>
  <w:style w:type="paragraph" w:styleId="13">
    <w:name w:val="List Paragraph"/>
    <w:basedOn w:val="1"/>
    <w:qFormat/>
    <w:uiPriority w:val="34"/>
    <w:pPr>
      <w:ind w:firstLine="420" w:firstLineChars="200"/>
    </w:pPr>
  </w:style>
  <w:style w:type="paragraph" w:customStyle="1" w:styleId="14">
    <w:name w:val="17"/>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5">
    <w:name w:val="正文文本缩进 3 Char"/>
    <w:link w:val="5"/>
    <w:qFormat/>
    <w:uiPriority w:val="0"/>
    <w:rPr>
      <w:rFonts w:ascii="仿宋_GB2312" w:eastAsia="仿宋_GB2312"/>
      <w:sz w:val="32"/>
    </w:rPr>
  </w:style>
  <w:style w:type="character" w:customStyle="1" w:styleId="16">
    <w:name w:val="正文文本缩进 3 字符"/>
    <w:basedOn w:val="10"/>
    <w:semiHidden/>
    <w:qFormat/>
    <w:uiPriority w:val="99"/>
    <w:rPr>
      <w:sz w:val="16"/>
      <w:szCs w:val="16"/>
    </w:rPr>
  </w:style>
  <w:style w:type="character" w:customStyle="1" w:styleId="17">
    <w:name w:val="页眉 Char"/>
    <w:basedOn w:val="10"/>
    <w:link w:val="4"/>
    <w:qFormat/>
    <w:uiPriority w:val="99"/>
    <w:rPr>
      <w:sz w:val="18"/>
      <w:szCs w:val="18"/>
    </w:rPr>
  </w:style>
  <w:style w:type="character" w:customStyle="1" w:styleId="18">
    <w:name w:val="页脚 Char"/>
    <w:basedOn w:val="10"/>
    <w:link w:val="3"/>
    <w:qFormat/>
    <w:uiPriority w:val="99"/>
    <w:rPr>
      <w:sz w:val="18"/>
      <w:szCs w:val="18"/>
    </w:rPr>
  </w:style>
  <w:style w:type="character" w:customStyle="1" w:styleId="19">
    <w:name w:val="HTML 预设格式 Char"/>
    <w:basedOn w:val="10"/>
    <w:link w:val="6"/>
    <w:semiHidden/>
    <w:qFormat/>
    <w:uiPriority w:val="99"/>
    <w:rPr>
      <w:rFonts w:ascii="宋体" w:hAnsi="宋体" w:eastAsia="宋体" w:cs="宋体"/>
      <w:kern w:val="0"/>
      <w:sz w:val="24"/>
      <w:szCs w:val="24"/>
    </w:rPr>
  </w:style>
  <w:style w:type="character" w:customStyle="1" w:styleId="20">
    <w:name w:val="批注框文本 Char"/>
    <w:basedOn w:val="10"/>
    <w:link w:val="2"/>
    <w:semiHidden/>
    <w:qFormat/>
    <w:uiPriority w:val="99"/>
    <w:rPr>
      <w:sz w:val="18"/>
      <w:szCs w:val="18"/>
    </w:rPr>
  </w:style>
  <w:style w:type="paragraph" w:customStyle="1" w:styleId="21">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22">
    <w:name w:val="Normal_0"/>
    <w:basedOn w:val="1"/>
    <w:qFormat/>
    <w:uiPriority w:val="0"/>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8A4637-8AA0-4472-98DD-09B6FF176FA5}">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781</Words>
  <Characters>976</Characters>
  <Lines>8</Lines>
  <Paragraphs>2</Paragraphs>
  <TotalTime>0</TotalTime>
  <ScaleCrop>false</ScaleCrop>
  <LinksUpToDate>false</LinksUpToDate>
  <CharactersWithSpaces>996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2020-02-01T14:27:00Z</dcterms:created>
  <dc:creator>USER</dc:creator>
  <cp:lastModifiedBy>Administrator</cp:lastModifiedBy>
  <cp:lastPrinted>2020-02-05T02:38:00Z</cp:lastPrinted>
  <dcterms:modified xsi:type="dcterms:W3CDTF">2025-05-13T01:00:48Z</dcterms:modified>
  <dc:title>市场监管总局关于开展口罩产品质量监督专项抽查有关工作的通知</dc:title>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330931100EF74CB9A705781909CF9568</vt:lpwstr>
  </property>
  <property fmtid="{D5CDD505-2E9C-101B-9397-08002B2CF9AE}" pid="4" name="KSOTemplateDocerSaveRecord">
    <vt:lpwstr>eyJoZGlkIjoiYzY1MGYxZTg5ZGJhZDhlMzU0YjA0MmQyMmRiZTdmOGIiLCJ1c2VySWQiOiI0MzMwMzE1NTkifQ==</vt:lpwstr>
  </property>
</Properties>
</file>